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A6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/>
          <w:kern w:val="2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kern w:val="2"/>
          <w:sz w:val="44"/>
          <w:szCs w:val="44"/>
          <w:lang w:eastAsia="zh-CN"/>
        </w:rPr>
        <w:t>2025年度申报安徽省科学技术奖项目公示</w:t>
      </w:r>
    </w:p>
    <w:bookmarkEnd w:id="0"/>
    <w:p w14:paraId="5D6BD825">
      <w:pPr>
        <w:spacing w:before="0" w:after="0" w:line="576" w:lineRule="exact"/>
        <w:jc w:val="center"/>
      </w:pPr>
      <w:r>
        <w:rPr>
          <w:rFonts w:ascii="楷体_GB2312" w:hAnsi="楷体_GB2312" w:eastAsia="楷体_GB2312"/>
          <w:b w:val="0"/>
          <w:color w:val="000000"/>
          <w:sz w:val="32"/>
        </w:rPr>
        <w:t>（科学技术进步奖）</w:t>
      </w:r>
    </w:p>
    <w:p w14:paraId="2B4267A9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  <w:t>根据安徽省科学技术奖励有关规定，现将我单位拟提名2025年度安徽省科学技术奖项目予以公示，公示内容如下：</w:t>
      </w:r>
    </w:p>
    <w:p w14:paraId="6D7BA53D">
      <w:pPr>
        <w:spacing w:before="0" w:after="0" w:line="576" w:lineRule="exact"/>
        <w:ind w:firstLine="640" w:firstLineChars="200"/>
      </w:pPr>
      <w:r>
        <w:rPr>
          <w:rFonts w:ascii="黑体" w:hAnsi="黑体" w:eastAsia="黑体"/>
          <w:b w:val="0"/>
          <w:color w:val="000000"/>
          <w:sz w:val="32"/>
        </w:rPr>
        <w:t>一、项目名称</w:t>
      </w:r>
    </w:p>
    <w:p w14:paraId="11C6CFC1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  <w:t>配电网接入规模化分布式资源的安全高效承载关键技术及应用</w:t>
      </w:r>
    </w:p>
    <w:p w14:paraId="6BB57C9C">
      <w:pPr>
        <w:spacing w:before="0" w:after="0" w:line="576" w:lineRule="exact"/>
        <w:ind w:firstLine="640" w:firstLineChars="200"/>
      </w:pPr>
      <w:r>
        <w:rPr>
          <w:rFonts w:ascii="黑体" w:hAnsi="黑体" w:eastAsia="黑体"/>
          <w:b w:val="0"/>
          <w:color w:val="000000"/>
          <w:sz w:val="32"/>
        </w:rPr>
        <w:t>二、提名者</w:t>
      </w:r>
    </w:p>
    <w:p w14:paraId="5086635C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  <w:t>国网安徽省电力有限公司</w:t>
      </w:r>
    </w:p>
    <w:p w14:paraId="511C9582">
      <w:pPr>
        <w:spacing w:before="0" w:after="0" w:line="576" w:lineRule="exact"/>
        <w:ind w:firstLine="640" w:firstLineChars="200"/>
      </w:pPr>
      <w:r>
        <w:rPr>
          <w:rFonts w:ascii="黑体" w:hAnsi="黑体" w:eastAsia="黑体"/>
          <w:b w:val="0"/>
          <w:color w:val="000000"/>
          <w:sz w:val="32"/>
        </w:rPr>
        <w:t>三、主要知识产权和标准规范等目录</w:t>
      </w:r>
    </w:p>
    <w:p w14:paraId="6064ECE6">
      <w:pPr>
        <w:spacing w:before="0" w:after="0" w:line="576" w:lineRule="exact"/>
        <w:ind w:firstLine="640" w:firstLineChars="200"/>
      </w:pPr>
      <w:r>
        <w:rPr>
          <w:rFonts w:ascii="楷体_GB2312" w:hAnsi="楷体_GB2312" w:eastAsia="楷体_GB2312"/>
          <w:b w:val="0"/>
          <w:color w:val="000000"/>
          <w:sz w:val="32"/>
        </w:rPr>
        <w:t>（一）专利（8项）</w:t>
      </w:r>
    </w:p>
    <w:p w14:paraId="0624D1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Times New Roman"/>
          <w:kern w:val="2"/>
          <w:szCs w:val="24"/>
          <w:lang w:val="en-US" w:eastAsia="zh-CN"/>
        </w:rPr>
      </w:pPr>
      <w:r>
        <w:rPr>
          <w:rFonts w:hint="eastAsia" w:ascii="方正仿宋_GBK" w:hAnsi="方正仿宋_GBK" w:eastAsia="方正仿宋_GBK" w:cs="Times New Roman"/>
          <w:kern w:val="2"/>
          <w:szCs w:val="24"/>
          <w:lang w:val="en-US" w:eastAsia="zh-CN"/>
        </w:rPr>
        <w:t>1.Digital Simulation System of Power Distribution Network（专利号：US 10922452B2）2.用于自同步电压源的虚拟功率预同步控制系统及方法（专利号：ZL 202410953104.8）3.一种考虑光伏电站接入的电力系统最大短路容量计算方法（专利号：ZL 202310362047.1）4.一种面向大规模分布式发电的仿真方法及装置（专利号：ZL 201811008818.2）5.高渗透率分布式能源系统的谱聚类集群划分方法（专利号：ZL 201711403880.7）6.一种基于RF-LSTM的故障电流多域识别方法及存储介质（专利号：ZL 202111198766.1）7.基于模糊波形的故障类型识别方法、系统及设备（专利号：ZL 202511445816.X）8.考虑交通流的柔性互联配电网电动汽车承载能力计算方法（专利号：ZL 202411236005.4）</w:t>
      </w:r>
    </w:p>
    <w:p w14:paraId="113A8748">
      <w:pPr>
        <w:spacing w:before="0" w:after="0" w:line="576" w:lineRule="exact"/>
        <w:ind w:firstLine="640" w:firstLineChars="200"/>
      </w:pPr>
      <w:r>
        <w:rPr>
          <w:rFonts w:ascii="楷体_GB2312" w:hAnsi="楷体_GB2312" w:eastAsia="楷体_GB2312"/>
          <w:b w:val="0"/>
          <w:color w:val="000000"/>
          <w:sz w:val="32"/>
        </w:rPr>
        <w:t>（二）标准（1项）</w:t>
      </w:r>
    </w:p>
    <w:p w14:paraId="2AF2A78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Times New Roman"/>
          <w:kern w:val="2"/>
          <w:szCs w:val="24"/>
          <w:lang w:val="en-US" w:eastAsia="zh-CN"/>
        </w:rPr>
      </w:pPr>
      <w:r>
        <w:rPr>
          <w:rFonts w:hint="eastAsia" w:ascii="方正仿宋_GBK" w:hAnsi="方正仿宋_GBK" w:eastAsia="方正仿宋_GBK" w:cs="Times New Roman"/>
          <w:kern w:val="2"/>
          <w:szCs w:val="24"/>
          <w:lang w:val="en-US" w:eastAsia="zh-CN"/>
        </w:rPr>
        <w:t>1.IEEE 2749 Recommended Practice for Risk Identification and Evaluation of SmartPower Distribution System</w:t>
      </w:r>
    </w:p>
    <w:p w14:paraId="0E580268">
      <w:pPr>
        <w:spacing w:before="0" w:after="0" w:line="576" w:lineRule="exact"/>
        <w:ind w:firstLine="640" w:firstLineChars="200"/>
      </w:pPr>
      <w:r>
        <w:rPr>
          <w:rFonts w:ascii="楷体_GB2312" w:hAnsi="楷体_GB2312" w:eastAsia="楷体_GB2312"/>
          <w:b w:val="0"/>
          <w:color w:val="000000"/>
          <w:sz w:val="32"/>
        </w:rPr>
        <w:t>（三）专著（1部）</w:t>
      </w:r>
    </w:p>
    <w:p w14:paraId="1E0B51E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Times New Roman"/>
          <w:kern w:val="2"/>
          <w:szCs w:val="24"/>
          <w:lang w:val="en-US" w:eastAsia="zh-CN"/>
        </w:rPr>
      </w:pPr>
      <w:r>
        <w:rPr>
          <w:rFonts w:hint="eastAsia" w:ascii="方正仿宋_GBK" w:hAnsi="方正仿宋_GBK" w:eastAsia="方正仿宋_GBK" w:cs="Times New Roman"/>
          <w:kern w:val="2"/>
          <w:szCs w:val="24"/>
          <w:lang w:val="en-US" w:eastAsia="zh-CN"/>
        </w:rPr>
        <w:t>1.大规模分布式电源接入配电网运行协调控制（ISBN978-7-03-083101-9）</w:t>
      </w:r>
    </w:p>
    <w:p w14:paraId="03FA6E34">
      <w:pPr>
        <w:spacing w:before="0" w:after="0" w:line="576" w:lineRule="exact"/>
        <w:ind w:firstLine="640" w:firstLineChars="200"/>
      </w:pPr>
      <w:r>
        <w:rPr>
          <w:rFonts w:ascii="黑体" w:hAnsi="黑体" w:eastAsia="黑体"/>
          <w:b w:val="0"/>
          <w:color w:val="000000"/>
          <w:sz w:val="32"/>
        </w:rPr>
        <w:t>四、主要完成人（15人）</w:t>
      </w:r>
    </w:p>
    <w:p w14:paraId="0AB59974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  <w:t>1.刘科研（中国电力科学研究院有限公司）2.汤伟（国网安徽省电力有限公司）3.王群京（安徽大学）4.丁津津（国网安徽省电力有限公司）5.贾东梨（中国电力科学研究院有限公司）6.叶学顺（中国电力科学研究院有限公司）7.潘敏（国网安徽省电力有限公司）8.汪宇航（国网安徽省电力有限公司）9.赵成（国网安徽省电力有限公司）10.张沈习（上海交通大学）11.曹军（科大智能电气技术有限公司）12.张振宇（中国电力科学研究院有限公司）13.霍龙（中国电力科学研究院有限公司）14.罗欢（合肥工业大学）15.张博超（中国电力科学研究院有限公司）</w:t>
      </w:r>
    </w:p>
    <w:p w14:paraId="7870BB63">
      <w:pPr>
        <w:spacing w:before="0" w:after="0" w:line="576" w:lineRule="exact"/>
        <w:ind w:firstLine="640" w:firstLineChars="200"/>
      </w:pPr>
      <w:r>
        <w:rPr>
          <w:rFonts w:ascii="黑体" w:hAnsi="黑体" w:eastAsia="黑体"/>
          <w:b w:val="0"/>
          <w:color w:val="000000"/>
          <w:sz w:val="32"/>
        </w:rPr>
        <w:t>五、主要完成单位（10家）</w:t>
      </w:r>
    </w:p>
    <w:p w14:paraId="57E04908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  <w:t>1.国网安徽省电力有限公司2.中国电力科学研究院有限公司3.安徽大学4.上海交通大学5.合肥工业大学6.科大智能电气技术有限公司7.南京南瑞继保工程技术有限公司8.安徽南瑞继远电网技术有限公司9.安徽明生恒卓科技公司10.北京科东电力控制系统有限责任公司</w:t>
      </w:r>
    </w:p>
    <w:p w14:paraId="56B7DF13">
      <w:pPr>
        <w:spacing w:before="0" w:after="0" w:line="576" w:lineRule="exact"/>
        <w:ind w:firstLine="640" w:firstLineChars="200"/>
      </w:pPr>
      <w:r>
        <w:rPr>
          <w:rFonts w:ascii="黑体" w:hAnsi="黑体" w:eastAsia="黑体"/>
          <w:b w:val="0"/>
          <w:color w:val="000000"/>
          <w:sz w:val="32"/>
        </w:rPr>
        <w:t>六、论证专家（5名）</w:t>
      </w:r>
    </w:p>
    <w:p w14:paraId="3A615C6A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  <w:t>1.陈维江（国家电网有限公司，院士，高电压与绝缘技术）2.顾伟（东南大学电气工程学院，党委书记/教授，电力系统）3.王波（武汉大学电气与自动化学院，副院长/教授，电力系统及其自动化）4.王守相（天津大学电气自动化与信息工程学院，副院长/教授，电力系统）5.杨帆（国网湖北省电力有限公司电力科学研究院，副院长/正高级工程师，电力系统）</w:t>
      </w:r>
    </w:p>
    <w:p w14:paraId="31FC44B9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  <w:t>公示期为2026年9月8日至9月14日（共7天）。公示期内，任何单位或个人对公示内容有异议的，请以书面形式向我单位反映，并提供必要的证明材料。以单位名义反映的须加盖单位公章，以个人名义反映的须署真实姓名和联系方式。</w:t>
      </w:r>
    </w:p>
    <w:p w14:paraId="17D7E11E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  <w:t>联系人：×××</w:t>
      </w:r>
    </w:p>
    <w:p w14:paraId="3B136953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  <w:t>联系电话：×××</w:t>
      </w:r>
    </w:p>
    <w:p w14:paraId="22EFA586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  <w:t>电子邮箱：×××</w:t>
      </w:r>
    </w:p>
    <w:p w14:paraId="64BDB7F3">
      <w:pPr>
        <w:spacing w:before="0" w:after="0" w:line="576" w:lineRule="exact"/>
        <w:ind w:firstLine="640" w:firstLineChars="200"/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  <w:t>通讯地址：×××</w:t>
      </w:r>
    </w:p>
    <w:p w14:paraId="2428D20E">
      <w:pPr>
        <w:spacing w:before="0" w:after="0" w:line="576" w:lineRule="exact"/>
        <w:ind w:firstLine="640" w:firstLineChars="200"/>
        <w:jc w:val="right"/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highlight w:val="yellow"/>
          <w:lang w:val="en-US" w:eastAsia="zh-CN" w:bidi="ar-SA"/>
        </w:rPr>
        <w:t>XXX公司</w:t>
      </w:r>
    </w:p>
    <w:p w14:paraId="160A5D84">
      <w:pPr>
        <w:spacing w:before="0" w:after="0" w:line="576" w:lineRule="exact"/>
        <w:ind w:firstLine="640" w:firstLineChars="200"/>
        <w:jc w:val="right"/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Times New Roman"/>
          <w:kern w:val="2"/>
          <w:sz w:val="32"/>
          <w:szCs w:val="24"/>
          <w:lang w:val="en-US" w:eastAsia="zh-CN" w:bidi="ar-SA"/>
        </w:rPr>
        <w:t>2026年9月8日</w:t>
      </w:r>
    </w:p>
    <w:sectPr>
      <w:footerReference r:id="rId5" w:type="default"/>
      <w:pgSz w:w="11906" w:h="16838"/>
      <w:pgMar w:top="2098" w:right="1474" w:bottom="1984" w:left="1587" w:header="720" w:footer="158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altName w:val="MS UI Gothic"/>
    <w:panose1 w:val="020B0400000000000000"/>
    <w:charset w:val="80"/>
    <w:family w:val="auto"/>
    <w:pitch w:val="default"/>
    <w:sig w:usb0="00000000" w:usb1="00000000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DD874">
    <w:pPr>
      <w:pStyle w:val="25"/>
      <w:spacing w:before="0" w:after="0"/>
      <w:jc w:val="center"/>
    </w:pPr>
    <w:r>
      <w:rPr>
        <w:rFonts w:ascii="宋体" w:hAnsi="宋体" w:eastAsia="宋体"/>
        <w:b w:val="0"/>
        <w:color w:val="000000"/>
        <w:sz w:val="28"/>
      </w:rPr>
      <w:t>—</w:t>
    </w:r>
    <w:r>
      <w:rPr>
        <w:rFonts w:ascii="宋体" w:hAnsi="宋体" w:eastAsia="宋体"/>
        <w:color w:val="000000"/>
        <w:sz w:val="28"/>
      </w:rPr>
      <w:fldChar w:fldCharType="begin"/>
    </w:r>
    <w:r>
      <w:rPr>
        <w:rFonts w:ascii="宋体" w:hAnsi="宋体" w:eastAsia="宋体"/>
        <w:color w:val="000000"/>
        <w:sz w:val="28"/>
      </w:rPr>
      <w:instrText xml:space="preserve"> PAGE </w:instrText>
    </w:r>
    <w:r>
      <w:rPr>
        <w:rFonts w:ascii="宋体" w:hAnsi="宋体" w:eastAsia="宋体"/>
        <w:color w:val="000000"/>
        <w:sz w:val="28"/>
      </w:rPr>
      <w:fldChar w:fldCharType="end"/>
    </w:r>
    <w:r>
      <w:rPr>
        <w:rFonts w:ascii="宋体" w:hAnsi="宋体" w:eastAsia="宋体"/>
        <w:b w:val="0"/>
        <w:color w:val="000000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0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6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F56606"/>
    <w:rsid w:val="10615A49"/>
    <w:rsid w:val="28C20822"/>
    <w:rsid w:val="2B1E3E60"/>
    <w:rsid w:val="2FDF3B11"/>
    <w:rsid w:val="33861354"/>
    <w:rsid w:val="3D1B2673"/>
    <w:rsid w:val="444A4542"/>
    <w:rsid w:val="5D06091F"/>
    <w:rsid w:val="604069F6"/>
    <w:rsid w:val="61CA2A1B"/>
    <w:rsid w:val="64FD4EB5"/>
    <w:rsid w:val="7FD5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5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6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7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9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10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1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3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spacing w:line="580" w:lineRule="exact"/>
      <w:ind w:firstLine="420" w:firstLineChars="200"/>
    </w:pPr>
    <w:rPr>
      <w:rFonts w:ascii="方正仿宋_GBK" w:hAnsi="方正仿宋_GBK" w:eastAsia="方正仿宋_GBK" w:cs="Times New Roman"/>
      <w:sz w:val="32"/>
    </w:rPr>
  </w:style>
  <w:style w:type="paragraph" w:styleId="3">
    <w:name w:val="Body Text"/>
    <w:basedOn w:val="1"/>
    <w:link w:val="145"/>
    <w:unhideWhenUsed/>
    <w:qFormat/>
    <w:uiPriority w:val="99"/>
    <w:pPr>
      <w:spacing w:after="120"/>
    </w:pPr>
  </w:style>
  <w:style w:type="paragraph" w:styleId="4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5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6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9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7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3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9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4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8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9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2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3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5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1135</Words>
  <Characters>1455</Characters>
  <Lines>0</Lines>
  <Paragraphs>0</Paragraphs>
  <TotalTime>3</TotalTime>
  <ScaleCrop>false</ScaleCrop>
  <LinksUpToDate>false</LinksUpToDate>
  <CharactersWithSpaces>1481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耶耶</cp:lastModifiedBy>
  <dcterms:modified xsi:type="dcterms:W3CDTF">2026-09-11T06:53:03Z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eyJoZGlkIjoiMzUyZmZiN2ZiOTJlOTVjNmZlZTNiMzBjYjZhYWYzMDIiLCJ1c2VySWQiOiIxNTE0Mjg0OTAzIn0=</vt:lpwstr>
  </property>
  <property fmtid="{D5CDD505-2E9C-101B-9397-08002B2CF9AE}" pid="3" name="KSOProductBuildVer">
    <vt:lpwstr>2052-12.1.0.28505</vt:lpwstr>
  </property>
  <property fmtid="{D5CDD505-2E9C-101B-9397-08002B2CF9AE}" pid="4" name="ICV">
    <vt:lpwstr>C8600127233F4784B6EE68AEF48E50E6_13</vt:lpwstr>
  </property>
</Properties>
</file>